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795A" w14:textId="77777777" w:rsidR="00476D20" w:rsidRDefault="00CB778E" w:rsidP="00CB778E">
      <w:pPr>
        <w:pStyle w:val="Titel"/>
      </w:pPr>
      <w:r>
        <w:t xml:space="preserve">Vernehmlassung </w:t>
      </w:r>
      <w:r w:rsidR="00EF7E2A">
        <w:t xml:space="preserve">Versorgungsplanung der Alters- und Langzeitpflege </w:t>
      </w:r>
      <w:r w:rsidR="00747D69">
        <w:t>2030</w:t>
      </w:r>
    </w:p>
    <w:p w14:paraId="2A6A27A5" w14:textId="77777777" w:rsidR="00822AF3" w:rsidRPr="00822AF3" w:rsidRDefault="00822AF3" w:rsidP="00822AF3">
      <w:pPr>
        <w:rPr>
          <w:b/>
        </w:rPr>
      </w:pPr>
      <w:r w:rsidRPr="00822AF3">
        <w:rPr>
          <w:b/>
        </w:rPr>
        <w:t>Antwort von:</w:t>
      </w:r>
    </w:p>
    <w:p w14:paraId="457FB664" w14:textId="77777777" w:rsidR="00822AF3" w:rsidRDefault="00822AF3" w:rsidP="00822AF3"/>
    <w:p w14:paraId="4F84F5D1" w14:textId="28F52B29" w:rsidR="00822AF3" w:rsidRDefault="00822AF3" w:rsidP="00A31E9B">
      <w:pPr>
        <w:tabs>
          <w:tab w:val="left" w:pos="3969"/>
        </w:tabs>
      </w:pPr>
      <w:r>
        <w:t xml:space="preserve">Name </w:t>
      </w:r>
      <w:r w:rsidR="00EF7E2A">
        <w:t>Organisation</w:t>
      </w:r>
      <w:r>
        <w:t xml:space="preserve"> / Kanton:</w:t>
      </w:r>
      <w:r w:rsidR="0049476D">
        <w:tab/>
      </w:r>
      <w:r w:rsidR="00247256">
        <w:t>VSEG</w:t>
      </w:r>
    </w:p>
    <w:p w14:paraId="3AD72473" w14:textId="6A198987" w:rsidR="00822AF3" w:rsidRDefault="00822AF3" w:rsidP="00A31E9B">
      <w:pPr>
        <w:tabs>
          <w:tab w:val="left" w:pos="3969"/>
        </w:tabs>
      </w:pPr>
      <w:r>
        <w:t>Kontaktperson Name/Vorname:</w:t>
      </w:r>
      <w:r w:rsidR="00306D9B">
        <w:tab/>
      </w:r>
      <w:r w:rsidR="005F76DD">
        <w:t xml:space="preserve">Thomas Blum, </w:t>
      </w:r>
      <w:r w:rsidR="00247256">
        <w:t>Geschäftsführer</w:t>
      </w:r>
    </w:p>
    <w:p w14:paraId="6A9E1B3A" w14:textId="1257DBE2" w:rsidR="00822AF3" w:rsidRDefault="00822AF3" w:rsidP="00A31E9B">
      <w:pPr>
        <w:tabs>
          <w:tab w:val="left" w:pos="3969"/>
        </w:tabs>
      </w:pPr>
      <w:r>
        <w:t>Telefon Kontaktperson:</w:t>
      </w:r>
      <w:r w:rsidR="00306D9B">
        <w:tab/>
      </w:r>
      <w:r w:rsidR="005F76DD">
        <w:t>079 275 11 50</w:t>
      </w:r>
    </w:p>
    <w:p w14:paraId="4E877CE6" w14:textId="23FA1AD4" w:rsidR="00822AF3" w:rsidRPr="001C4318" w:rsidRDefault="00822AF3" w:rsidP="00A31E9B">
      <w:pPr>
        <w:tabs>
          <w:tab w:val="left" w:pos="3969"/>
        </w:tabs>
      </w:pPr>
      <w:r w:rsidRPr="001C4318">
        <w:t>E-Mail Kontaktperson:</w:t>
      </w:r>
      <w:r w:rsidR="00306D9B" w:rsidRPr="001C4318">
        <w:tab/>
      </w:r>
      <w:r w:rsidR="00247256" w:rsidRPr="001C4318">
        <w:t>info@vseg.ch</w:t>
      </w:r>
    </w:p>
    <w:p w14:paraId="3ECF74EC" w14:textId="77777777" w:rsidR="00822AF3" w:rsidRPr="001C4318" w:rsidRDefault="00822AF3" w:rsidP="00822AF3"/>
    <w:p w14:paraId="37C554C1" w14:textId="77777777" w:rsidR="00822AF3" w:rsidRPr="001C4318" w:rsidRDefault="00822AF3" w:rsidP="00822AF3"/>
    <w:p w14:paraId="285153D8" w14:textId="77777777" w:rsidR="00CB778E" w:rsidRDefault="00000000" w:rsidP="00CB778E">
      <w:sdt>
        <w:sdtPr>
          <w:id w:val="-2134626974"/>
          <w14:checkbox>
            <w14:checked w14:val="0"/>
            <w14:checkedState w14:val="2612" w14:font="MS Gothic"/>
            <w14:uncheckedState w14:val="2610" w14:font="MS Gothic"/>
          </w14:checkbox>
        </w:sdtPr>
        <w:sdtContent>
          <w:r w:rsidR="00747D69">
            <w:rPr>
              <w:rFonts w:ascii="MS Gothic" w:eastAsia="MS Gothic" w:hAnsi="MS Gothic" w:hint="eastAsia"/>
            </w:rPr>
            <w:t>☐</w:t>
          </w:r>
        </w:sdtContent>
      </w:sdt>
      <w:r w:rsidR="00CB778E">
        <w:tab/>
        <w:t>Wir verzichten auf eine inhaltliche Stellungnahme.</w:t>
      </w:r>
    </w:p>
    <w:p w14:paraId="530A563E" w14:textId="77777777" w:rsidR="000B5DC0" w:rsidRDefault="000B5DC0" w:rsidP="00CB778E"/>
    <w:tbl>
      <w:tblPr>
        <w:tblStyle w:val="Tabellenraster"/>
        <w:tblW w:w="5000" w:type="pct"/>
        <w:tblLook w:val="04A0" w:firstRow="1" w:lastRow="0" w:firstColumn="1" w:lastColumn="0" w:noHBand="0" w:noVBand="1"/>
      </w:tblPr>
      <w:tblGrid>
        <w:gridCol w:w="1839"/>
        <w:gridCol w:w="12947"/>
      </w:tblGrid>
      <w:tr w:rsidR="00747D69" w:rsidRPr="00CB778E" w14:paraId="42E1E79C" w14:textId="77777777" w:rsidTr="00F438EF">
        <w:trPr>
          <w:tblHeader/>
        </w:trPr>
        <w:tc>
          <w:tcPr>
            <w:tcW w:w="622" w:type="pct"/>
            <w:shd w:val="clear" w:color="auto" w:fill="DBE5F1" w:themeFill="accent1" w:themeFillTint="33"/>
          </w:tcPr>
          <w:p w14:paraId="4E9B5B05" w14:textId="77777777" w:rsidR="00747D69" w:rsidRPr="00CB778E" w:rsidRDefault="00747D69" w:rsidP="00CB778E">
            <w:pPr>
              <w:spacing w:before="60" w:after="60"/>
              <w:rPr>
                <w:b/>
              </w:rPr>
            </w:pPr>
            <w:r w:rsidRPr="00CB778E">
              <w:rPr>
                <w:b/>
              </w:rPr>
              <w:t>Kapitel</w:t>
            </w:r>
          </w:p>
        </w:tc>
        <w:tc>
          <w:tcPr>
            <w:tcW w:w="4378" w:type="pct"/>
            <w:shd w:val="clear" w:color="auto" w:fill="DBE5F1" w:themeFill="accent1" w:themeFillTint="33"/>
          </w:tcPr>
          <w:p w14:paraId="38FFA822" w14:textId="77777777" w:rsidR="00747D69" w:rsidRPr="00CB778E" w:rsidRDefault="00747D69" w:rsidP="00CB778E">
            <w:pPr>
              <w:spacing w:before="60" w:after="60"/>
              <w:rPr>
                <w:b/>
              </w:rPr>
            </w:pPr>
            <w:r w:rsidRPr="00CB778E">
              <w:rPr>
                <w:b/>
              </w:rPr>
              <w:t>Inhalt</w:t>
            </w:r>
          </w:p>
        </w:tc>
      </w:tr>
      <w:tr w:rsidR="00747D69" w14:paraId="05D30956" w14:textId="77777777" w:rsidTr="00F438EF">
        <w:tc>
          <w:tcPr>
            <w:tcW w:w="622" w:type="pct"/>
          </w:tcPr>
          <w:p w14:paraId="6F7F1B8B" w14:textId="77777777" w:rsidR="00747D69" w:rsidRPr="00423957" w:rsidRDefault="00822AF3" w:rsidP="00F438EF">
            <w:pPr>
              <w:rPr>
                <w:b/>
              </w:rPr>
            </w:pPr>
            <w:r w:rsidRPr="00423957">
              <w:rPr>
                <w:b/>
              </w:rPr>
              <w:t xml:space="preserve">Generelle </w:t>
            </w:r>
            <w:r w:rsidR="00B11052">
              <w:rPr>
                <w:b/>
              </w:rPr>
              <w:br/>
            </w:r>
            <w:r w:rsidRPr="00423957">
              <w:rPr>
                <w:b/>
              </w:rPr>
              <w:t xml:space="preserve">Anmerkungen zum </w:t>
            </w:r>
            <w:r w:rsidR="00F438EF">
              <w:rPr>
                <w:b/>
              </w:rPr>
              <w:t>Dokument</w:t>
            </w:r>
          </w:p>
        </w:tc>
        <w:tc>
          <w:tcPr>
            <w:tcW w:w="4378" w:type="pct"/>
          </w:tcPr>
          <w:p w14:paraId="7A509575" w14:textId="77777777" w:rsidR="00747D69" w:rsidRDefault="00747D69" w:rsidP="00CB778E"/>
          <w:p w14:paraId="0082B45A" w14:textId="3A18B758" w:rsidR="00747D69" w:rsidRDefault="005F76DD" w:rsidP="00CB778E">
            <w:r>
              <w:t xml:space="preserve">Sehr gute Herleitungen und nachvollziehbare Szenarien. Der Konzeptbericht zur Versorgungsplanung erfüllt für </w:t>
            </w:r>
            <w:r w:rsidR="001C4318">
              <w:t>den VSEG</w:t>
            </w:r>
            <w:r>
              <w:t xml:space="preserve"> sämtliche Ansprüche an ein zukunftgerichtetes Gesamtkonzept für die Versorgungsplanung</w:t>
            </w:r>
            <w:r w:rsidR="00021ED3">
              <w:t xml:space="preserve"> Alters- und Langzeitpflege 2030</w:t>
            </w:r>
            <w:r>
              <w:t xml:space="preserve"> im Kanton Solothurn.</w:t>
            </w:r>
          </w:p>
          <w:p w14:paraId="314D8423" w14:textId="77777777" w:rsidR="00747D69" w:rsidRDefault="00747D69" w:rsidP="00CB778E"/>
        </w:tc>
      </w:tr>
      <w:tr w:rsidR="00423957" w14:paraId="678C6FDF" w14:textId="77777777" w:rsidTr="00F438EF">
        <w:tc>
          <w:tcPr>
            <w:tcW w:w="622" w:type="pct"/>
            <w:shd w:val="clear" w:color="auto" w:fill="7F7F7F" w:themeFill="text1" w:themeFillTint="80"/>
          </w:tcPr>
          <w:p w14:paraId="0C19E653" w14:textId="77777777" w:rsidR="00423957" w:rsidRPr="00423957" w:rsidRDefault="00423957" w:rsidP="00CB778E">
            <w:pPr>
              <w:rPr>
                <w:b/>
              </w:rPr>
            </w:pPr>
          </w:p>
        </w:tc>
        <w:tc>
          <w:tcPr>
            <w:tcW w:w="4378" w:type="pct"/>
            <w:shd w:val="clear" w:color="auto" w:fill="7F7F7F" w:themeFill="text1" w:themeFillTint="80"/>
          </w:tcPr>
          <w:p w14:paraId="58A5B137" w14:textId="77777777" w:rsidR="00423957" w:rsidRDefault="00423957" w:rsidP="00CB778E"/>
        </w:tc>
      </w:tr>
      <w:tr w:rsidR="00747D69" w14:paraId="67577BCD" w14:textId="77777777" w:rsidTr="00F438EF">
        <w:tc>
          <w:tcPr>
            <w:tcW w:w="622" w:type="pct"/>
          </w:tcPr>
          <w:p w14:paraId="11AC9AED" w14:textId="77777777" w:rsidR="00747D69" w:rsidRPr="00822AF3" w:rsidRDefault="00822AF3" w:rsidP="00CB778E">
            <w:pPr>
              <w:rPr>
                <w:b/>
              </w:rPr>
            </w:pPr>
            <w:r>
              <w:rPr>
                <w:b/>
              </w:rPr>
              <w:t>1</w:t>
            </w:r>
          </w:p>
          <w:p w14:paraId="25C03291" w14:textId="77777777" w:rsidR="00822AF3" w:rsidRDefault="00822AF3" w:rsidP="00CB778E">
            <w:r w:rsidRPr="00822AF3">
              <w:rPr>
                <w:b/>
              </w:rPr>
              <w:t>Einleitung</w:t>
            </w:r>
          </w:p>
        </w:tc>
        <w:tc>
          <w:tcPr>
            <w:tcW w:w="4378" w:type="pct"/>
          </w:tcPr>
          <w:p w14:paraId="5960AE8E" w14:textId="77777777" w:rsidR="00747D69" w:rsidRDefault="00747D69" w:rsidP="00CB778E"/>
          <w:p w14:paraId="6D155B2B" w14:textId="77777777" w:rsidR="00747D69" w:rsidRDefault="00747D69" w:rsidP="00CB778E"/>
        </w:tc>
      </w:tr>
      <w:tr w:rsidR="00747D69" w14:paraId="25840C44" w14:textId="77777777" w:rsidTr="00F438EF">
        <w:tc>
          <w:tcPr>
            <w:tcW w:w="622" w:type="pct"/>
          </w:tcPr>
          <w:p w14:paraId="223558FE" w14:textId="77777777" w:rsidR="00822AF3" w:rsidRDefault="00822AF3" w:rsidP="00CB778E">
            <w:r>
              <w:t xml:space="preserve">1.1 </w:t>
            </w:r>
          </w:p>
          <w:p w14:paraId="73A3C2DD" w14:textId="77777777" w:rsidR="00747D69" w:rsidRDefault="00F438EF" w:rsidP="00CB778E">
            <w:r>
              <w:t>Ausgangslage und Auftrag</w:t>
            </w:r>
          </w:p>
        </w:tc>
        <w:tc>
          <w:tcPr>
            <w:tcW w:w="4378" w:type="pct"/>
          </w:tcPr>
          <w:p w14:paraId="7BA2898E" w14:textId="20736CC2" w:rsidR="00747D69" w:rsidRDefault="0049476D" w:rsidP="00CB778E">
            <w:r>
              <w:t>Keine Anmerkungen</w:t>
            </w:r>
          </w:p>
        </w:tc>
      </w:tr>
      <w:tr w:rsidR="00747D69" w14:paraId="12804FAC" w14:textId="77777777" w:rsidTr="00F438EF">
        <w:tc>
          <w:tcPr>
            <w:tcW w:w="622" w:type="pct"/>
          </w:tcPr>
          <w:p w14:paraId="55D753F5" w14:textId="77777777" w:rsidR="00747D69" w:rsidRDefault="00822AF3" w:rsidP="00DE44E6">
            <w:r>
              <w:t>1.2</w:t>
            </w:r>
          </w:p>
          <w:p w14:paraId="40BCD43E" w14:textId="77777777" w:rsidR="00822AF3" w:rsidRDefault="00F438EF" w:rsidP="00DE44E6">
            <w:r>
              <w:t>Relevante Schnittstellen</w:t>
            </w:r>
          </w:p>
        </w:tc>
        <w:tc>
          <w:tcPr>
            <w:tcW w:w="4378" w:type="pct"/>
          </w:tcPr>
          <w:p w14:paraId="27271A21" w14:textId="40B13561" w:rsidR="00747D69" w:rsidRDefault="005F76DD" w:rsidP="00DE44E6">
            <w:r>
              <w:t>Keine Anmerkungen</w:t>
            </w:r>
          </w:p>
          <w:p w14:paraId="22222208" w14:textId="77777777" w:rsidR="00747D69" w:rsidRDefault="00747D69" w:rsidP="00DE44E6"/>
        </w:tc>
      </w:tr>
      <w:tr w:rsidR="00747D69" w14:paraId="4E1C1153" w14:textId="77777777" w:rsidTr="00F438EF">
        <w:tc>
          <w:tcPr>
            <w:tcW w:w="622" w:type="pct"/>
          </w:tcPr>
          <w:p w14:paraId="5F7D26E4" w14:textId="77777777" w:rsidR="00747D69" w:rsidRDefault="00822AF3" w:rsidP="00DE44E6">
            <w:r>
              <w:t>1.3</w:t>
            </w:r>
          </w:p>
          <w:p w14:paraId="5F49D583" w14:textId="77777777" w:rsidR="00822AF3" w:rsidRDefault="00F438EF" w:rsidP="00DE44E6">
            <w:r>
              <w:t>Prognosemodell und Szenarien</w:t>
            </w:r>
          </w:p>
        </w:tc>
        <w:tc>
          <w:tcPr>
            <w:tcW w:w="4378" w:type="pct"/>
          </w:tcPr>
          <w:p w14:paraId="0A5BEBFC" w14:textId="51D5D7AF" w:rsidR="00747D69" w:rsidRDefault="0049476D" w:rsidP="00DE44E6">
            <w:r>
              <w:t>Prognosehorizont 2042 ist mit grossen Unsicherheiten behaftet. Hier wäre der Hinweis angebracht, dass im Sinne eines Monitoring, im Jahr 2027 die Prognosen überprüft werden</w:t>
            </w:r>
            <w:r w:rsidR="00DC01ED">
              <w:t>, wie unter Punkt 3.4.1 angesprochen für die Pflegebetten</w:t>
            </w:r>
            <w:r>
              <w:t>.</w:t>
            </w:r>
          </w:p>
          <w:p w14:paraId="0378D8A6" w14:textId="77777777" w:rsidR="00747D69" w:rsidRDefault="00747D69" w:rsidP="00DE44E6"/>
        </w:tc>
      </w:tr>
      <w:tr w:rsidR="00423957" w14:paraId="4FD4E583" w14:textId="77777777" w:rsidTr="00F438EF">
        <w:tc>
          <w:tcPr>
            <w:tcW w:w="622" w:type="pct"/>
            <w:shd w:val="clear" w:color="auto" w:fill="7F7F7F" w:themeFill="text1" w:themeFillTint="80"/>
          </w:tcPr>
          <w:p w14:paraId="25D17FC3" w14:textId="77777777" w:rsidR="00423957" w:rsidRDefault="00423957" w:rsidP="00DE44E6"/>
        </w:tc>
        <w:tc>
          <w:tcPr>
            <w:tcW w:w="4378" w:type="pct"/>
            <w:shd w:val="clear" w:color="auto" w:fill="7F7F7F" w:themeFill="text1" w:themeFillTint="80"/>
          </w:tcPr>
          <w:p w14:paraId="711F10D0" w14:textId="77777777" w:rsidR="00423957" w:rsidRDefault="00423957" w:rsidP="00DE44E6"/>
        </w:tc>
      </w:tr>
      <w:tr w:rsidR="00747D69" w14:paraId="3502E038" w14:textId="77777777" w:rsidTr="00F438EF">
        <w:trPr>
          <w:cantSplit/>
        </w:trPr>
        <w:tc>
          <w:tcPr>
            <w:tcW w:w="622" w:type="pct"/>
          </w:tcPr>
          <w:p w14:paraId="3575A670" w14:textId="77777777" w:rsidR="00747D69" w:rsidRPr="00822AF3" w:rsidRDefault="00822AF3" w:rsidP="00DE44E6">
            <w:pPr>
              <w:rPr>
                <w:b/>
              </w:rPr>
            </w:pPr>
            <w:r>
              <w:rPr>
                <w:b/>
              </w:rPr>
              <w:t>2</w:t>
            </w:r>
          </w:p>
          <w:p w14:paraId="7D7ED3FA" w14:textId="77777777" w:rsidR="00822AF3" w:rsidRDefault="00F438EF" w:rsidP="00DE44E6">
            <w:r>
              <w:rPr>
                <w:b/>
              </w:rPr>
              <w:t>Rahmenbedingungen</w:t>
            </w:r>
          </w:p>
        </w:tc>
        <w:tc>
          <w:tcPr>
            <w:tcW w:w="4378" w:type="pct"/>
          </w:tcPr>
          <w:p w14:paraId="2045E8DB" w14:textId="77777777" w:rsidR="00747D69" w:rsidRDefault="00747D69" w:rsidP="00DE44E6"/>
        </w:tc>
      </w:tr>
      <w:tr w:rsidR="00747D69" w14:paraId="159DB276" w14:textId="77777777" w:rsidTr="00F438EF">
        <w:tc>
          <w:tcPr>
            <w:tcW w:w="622" w:type="pct"/>
          </w:tcPr>
          <w:p w14:paraId="4A6082D5" w14:textId="77777777" w:rsidR="000B5DC0" w:rsidRDefault="000B5DC0" w:rsidP="00DE44E6"/>
          <w:p w14:paraId="738811F2" w14:textId="77777777" w:rsidR="00747D69" w:rsidRDefault="00822AF3" w:rsidP="00DE44E6">
            <w:r>
              <w:t>2.1</w:t>
            </w:r>
          </w:p>
          <w:p w14:paraId="462578AF" w14:textId="77777777" w:rsidR="00822AF3" w:rsidRDefault="00F438EF" w:rsidP="00DE44E6">
            <w:r>
              <w:t>Planungsregionen</w:t>
            </w:r>
          </w:p>
        </w:tc>
        <w:tc>
          <w:tcPr>
            <w:tcW w:w="4378" w:type="pct"/>
          </w:tcPr>
          <w:p w14:paraId="2693B083" w14:textId="77777777" w:rsidR="00747D69" w:rsidRDefault="00747D69" w:rsidP="00DE44E6"/>
          <w:p w14:paraId="661D85AA" w14:textId="6BF47ED9" w:rsidR="00747D69" w:rsidRDefault="0049476D" w:rsidP="00347AB9">
            <w:r>
              <w:t>Wir begrüssen die Aufteilung in 6 Planungsregionen (weg vom Einheitskreis</w:t>
            </w:r>
            <w:r w:rsidR="005F76DD">
              <w:t>). Nur so wird es möglich sein, eine bedarfsgerechte Versorgungsplanung im Bereich der stationären und ambulanten Pflege in der Zukunft zu steuern.</w:t>
            </w:r>
          </w:p>
        </w:tc>
      </w:tr>
      <w:tr w:rsidR="00822AF3" w14:paraId="3F7047C3" w14:textId="77777777" w:rsidTr="00F438EF">
        <w:tc>
          <w:tcPr>
            <w:tcW w:w="622" w:type="pct"/>
          </w:tcPr>
          <w:p w14:paraId="5DD41B54" w14:textId="77777777" w:rsidR="00822AF3" w:rsidRDefault="00822AF3" w:rsidP="00DE44E6">
            <w:r>
              <w:t>2.2</w:t>
            </w:r>
          </w:p>
          <w:p w14:paraId="2D2943C7" w14:textId="77777777" w:rsidR="00822AF3" w:rsidRDefault="00F438EF" w:rsidP="00F438EF">
            <w:r>
              <w:t>Bevölkerung 65+ in der Ausgangslage</w:t>
            </w:r>
          </w:p>
        </w:tc>
        <w:tc>
          <w:tcPr>
            <w:tcW w:w="4378" w:type="pct"/>
          </w:tcPr>
          <w:p w14:paraId="2319F01A" w14:textId="77777777" w:rsidR="00822AF3" w:rsidRDefault="00822AF3" w:rsidP="00DE44E6"/>
          <w:p w14:paraId="351CE1E0" w14:textId="25B83C43" w:rsidR="00822AF3" w:rsidRDefault="005F76DD" w:rsidP="00DE44E6">
            <w:r>
              <w:t xml:space="preserve">Nachvollziehbare Planungsgrössen - </w:t>
            </w:r>
            <w:r w:rsidR="00D67B03">
              <w:t>Keine Bemerkungen</w:t>
            </w:r>
          </w:p>
          <w:p w14:paraId="30120C58" w14:textId="77777777" w:rsidR="00822AF3" w:rsidRDefault="00822AF3" w:rsidP="00DE44E6"/>
        </w:tc>
      </w:tr>
      <w:tr w:rsidR="00822AF3" w14:paraId="3D8F2B86" w14:textId="77777777" w:rsidTr="00F438EF">
        <w:tc>
          <w:tcPr>
            <w:tcW w:w="622" w:type="pct"/>
          </w:tcPr>
          <w:p w14:paraId="517DDBBB" w14:textId="77777777" w:rsidR="00822AF3" w:rsidRDefault="00822AF3" w:rsidP="00DE44E6">
            <w:r>
              <w:t>2.3</w:t>
            </w:r>
          </w:p>
          <w:p w14:paraId="6463713E" w14:textId="77777777" w:rsidR="00822AF3" w:rsidRDefault="00F438EF" w:rsidP="00DE44E6">
            <w:r>
              <w:t>Bevölkerungsentwicklung bis 2030 resp. 2042</w:t>
            </w:r>
          </w:p>
        </w:tc>
        <w:tc>
          <w:tcPr>
            <w:tcW w:w="4378" w:type="pct"/>
          </w:tcPr>
          <w:p w14:paraId="2CF619BC" w14:textId="6F9E53BA" w:rsidR="00347AB9" w:rsidRDefault="00347AB9" w:rsidP="00DE44E6">
            <w:r>
              <w:t xml:space="preserve">Entwicklungsprognosen nachvollziehbar, siehe auch Bemerkung zu </w:t>
            </w:r>
            <w:r w:rsidR="00DC01ED">
              <w:t xml:space="preserve">Punkt </w:t>
            </w:r>
            <w:r>
              <w:t>1.3</w:t>
            </w:r>
          </w:p>
          <w:p w14:paraId="4B7C5ABA" w14:textId="77777777" w:rsidR="00822AF3" w:rsidRDefault="00822AF3" w:rsidP="00DE44E6"/>
          <w:p w14:paraId="7CB16C28" w14:textId="77777777" w:rsidR="00822AF3" w:rsidRDefault="00822AF3" w:rsidP="00DE44E6"/>
        </w:tc>
      </w:tr>
      <w:tr w:rsidR="00822AF3" w14:paraId="3A2001DB" w14:textId="77777777" w:rsidTr="00F438EF">
        <w:tc>
          <w:tcPr>
            <w:tcW w:w="622" w:type="pct"/>
          </w:tcPr>
          <w:p w14:paraId="38858A39" w14:textId="77777777" w:rsidR="00822AF3" w:rsidRDefault="00822AF3" w:rsidP="00DE44E6">
            <w:r>
              <w:t>2.4</w:t>
            </w:r>
          </w:p>
          <w:p w14:paraId="76147EAD" w14:textId="77777777" w:rsidR="00822AF3" w:rsidRDefault="00F438EF" w:rsidP="00DE44E6">
            <w:r>
              <w:t>Relevante Trends und Entwicklungen</w:t>
            </w:r>
          </w:p>
        </w:tc>
        <w:tc>
          <w:tcPr>
            <w:tcW w:w="4378" w:type="pct"/>
          </w:tcPr>
          <w:p w14:paraId="0B4CA81D" w14:textId="77777777" w:rsidR="00822AF3" w:rsidRDefault="00822AF3" w:rsidP="00DE44E6"/>
          <w:p w14:paraId="101CC0E0" w14:textId="2C9E2740" w:rsidR="00822AF3" w:rsidRDefault="005F76DD" w:rsidP="00D67B03">
            <w:r>
              <w:t>Richtige Einschätzungen – keine Bemerkungen</w:t>
            </w:r>
          </w:p>
        </w:tc>
      </w:tr>
      <w:tr w:rsidR="00423957" w14:paraId="30591BD3" w14:textId="77777777" w:rsidTr="00F438EF">
        <w:tc>
          <w:tcPr>
            <w:tcW w:w="622" w:type="pct"/>
            <w:shd w:val="clear" w:color="auto" w:fill="7F7F7F" w:themeFill="text1" w:themeFillTint="80"/>
          </w:tcPr>
          <w:p w14:paraId="78F3F609" w14:textId="77777777" w:rsidR="00423957" w:rsidRDefault="00423957" w:rsidP="00DE44E6"/>
        </w:tc>
        <w:tc>
          <w:tcPr>
            <w:tcW w:w="4378" w:type="pct"/>
            <w:shd w:val="clear" w:color="auto" w:fill="7F7F7F" w:themeFill="text1" w:themeFillTint="80"/>
          </w:tcPr>
          <w:p w14:paraId="4232C269" w14:textId="77777777" w:rsidR="00423957" w:rsidRDefault="00423957" w:rsidP="00DE44E6"/>
        </w:tc>
      </w:tr>
      <w:tr w:rsidR="00822AF3" w14:paraId="32C9C40B" w14:textId="77777777" w:rsidTr="00F438EF">
        <w:tc>
          <w:tcPr>
            <w:tcW w:w="622" w:type="pct"/>
          </w:tcPr>
          <w:p w14:paraId="658D33C9" w14:textId="77777777" w:rsidR="00822AF3" w:rsidRPr="00822AF3" w:rsidRDefault="00822AF3" w:rsidP="00DE44E6">
            <w:pPr>
              <w:rPr>
                <w:b/>
              </w:rPr>
            </w:pPr>
            <w:r w:rsidRPr="00822AF3">
              <w:rPr>
                <w:b/>
              </w:rPr>
              <w:t>3</w:t>
            </w:r>
          </w:p>
          <w:p w14:paraId="75088074" w14:textId="77777777" w:rsidR="00822AF3" w:rsidRDefault="00822AF3" w:rsidP="00F438EF">
            <w:r w:rsidRPr="00822AF3">
              <w:rPr>
                <w:b/>
              </w:rPr>
              <w:t xml:space="preserve">Stationäre </w:t>
            </w:r>
            <w:r w:rsidR="00F438EF">
              <w:rPr>
                <w:b/>
              </w:rPr>
              <w:t>Versorgung</w:t>
            </w:r>
          </w:p>
        </w:tc>
        <w:tc>
          <w:tcPr>
            <w:tcW w:w="4378" w:type="pct"/>
          </w:tcPr>
          <w:p w14:paraId="6234EB8F" w14:textId="77777777" w:rsidR="00822AF3" w:rsidRDefault="00822AF3" w:rsidP="00DE44E6"/>
          <w:p w14:paraId="233DABE3" w14:textId="77777777" w:rsidR="00822AF3" w:rsidRDefault="00822AF3" w:rsidP="00DE44E6"/>
          <w:p w14:paraId="0FF7DC44" w14:textId="77777777" w:rsidR="00822AF3" w:rsidRDefault="00822AF3" w:rsidP="00DE44E6"/>
        </w:tc>
      </w:tr>
      <w:tr w:rsidR="00822AF3" w14:paraId="26AAA1EF" w14:textId="77777777" w:rsidTr="00F438EF">
        <w:tc>
          <w:tcPr>
            <w:tcW w:w="622" w:type="pct"/>
          </w:tcPr>
          <w:p w14:paraId="01729B56" w14:textId="77777777" w:rsidR="00822AF3" w:rsidRDefault="00822AF3" w:rsidP="00DE44E6">
            <w:r>
              <w:t>3.1</w:t>
            </w:r>
          </w:p>
          <w:p w14:paraId="24BDF4B5" w14:textId="77777777" w:rsidR="00822AF3" w:rsidRDefault="00F438EF" w:rsidP="00DE44E6">
            <w:r>
              <w:t>Bestehendes Angebot</w:t>
            </w:r>
          </w:p>
        </w:tc>
        <w:tc>
          <w:tcPr>
            <w:tcW w:w="4378" w:type="pct"/>
          </w:tcPr>
          <w:p w14:paraId="26617BA7" w14:textId="77777777" w:rsidR="00822AF3" w:rsidRDefault="00822AF3" w:rsidP="00DE44E6"/>
          <w:p w14:paraId="04D187FB" w14:textId="2C208DDA" w:rsidR="00822AF3" w:rsidRDefault="00DC01ED" w:rsidP="00DE44E6">
            <w:r>
              <w:t>Keine Bemerkungen</w:t>
            </w:r>
          </w:p>
          <w:p w14:paraId="755A5CE5" w14:textId="77777777" w:rsidR="00822AF3" w:rsidRDefault="00822AF3" w:rsidP="00DE44E6"/>
        </w:tc>
      </w:tr>
      <w:tr w:rsidR="00822AF3" w14:paraId="4BDD4302" w14:textId="77777777" w:rsidTr="00F438EF">
        <w:tc>
          <w:tcPr>
            <w:tcW w:w="622" w:type="pct"/>
          </w:tcPr>
          <w:p w14:paraId="7B131CDF" w14:textId="77777777" w:rsidR="00822AF3" w:rsidRDefault="00822AF3" w:rsidP="00DE44E6">
            <w:r>
              <w:t>3.2</w:t>
            </w:r>
          </w:p>
          <w:p w14:paraId="2747890E" w14:textId="77777777" w:rsidR="00822AF3" w:rsidRDefault="00F438EF" w:rsidP="00DE44E6">
            <w:r>
              <w:t>Bestehende Inanspruchnahme</w:t>
            </w:r>
          </w:p>
        </w:tc>
        <w:tc>
          <w:tcPr>
            <w:tcW w:w="4378" w:type="pct"/>
          </w:tcPr>
          <w:p w14:paraId="02C07478" w14:textId="27ECA9E3" w:rsidR="00822AF3" w:rsidRDefault="00DC01ED" w:rsidP="00DE44E6">
            <w:r>
              <w:t>Bei den leichtpflegebedürftigen Bewohnenden 65+ ist zu berücksichtigen, dass es sich auch um vereinsamte, verwahrloste Personen, u.a. auch in psychischen Problemen handelt. Dieser Anteil nimmt tendenziell zu und kann kaum ambulant oder intermediär versorgt werden.</w:t>
            </w:r>
          </w:p>
          <w:p w14:paraId="2C40C549" w14:textId="77777777" w:rsidR="00822AF3" w:rsidRDefault="00822AF3" w:rsidP="00DE44E6"/>
        </w:tc>
      </w:tr>
      <w:tr w:rsidR="00822AF3" w14:paraId="296AE72A" w14:textId="77777777" w:rsidTr="00F438EF">
        <w:tc>
          <w:tcPr>
            <w:tcW w:w="622" w:type="pct"/>
          </w:tcPr>
          <w:p w14:paraId="02608B22" w14:textId="77777777" w:rsidR="00822AF3" w:rsidRDefault="00F438EF" w:rsidP="00DE44E6">
            <w:r>
              <w:t>3.3</w:t>
            </w:r>
          </w:p>
          <w:p w14:paraId="4CC63DF0" w14:textId="77777777" w:rsidR="00822AF3" w:rsidRDefault="00F438EF" w:rsidP="00DE44E6">
            <w:r>
              <w:t>Prognostizierte Bedarfsentwicklung</w:t>
            </w:r>
          </w:p>
        </w:tc>
        <w:tc>
          <w:tcPr>
            <w:tcW w:w="4378" w:type="pct"/>
          </w:tcPr>
          <w:p w14:paraId="15F4182E" w14:textId="77777777" w:rsidR="005F76DD" w:rsidRDefault="005F76DD" w:rsidP="00DC01ED"/>
          <w:p w14:paraId="63A0C322" w14:textId="3D3E313F" w:rsidR="00822AF3" w:rsidRDefault="00DC01ED" w:rsidP="00DC01ED">
            <w:r>
              <w:t>Siehe auch Bemerkung oben</w:t>
            </w:r>
          </w:p>
        </w:tc>
      </w:tr>
      <w:tr w:rsidR="00822AF3" w14:paraId="6DC6FEBD" w14:textId="77777777" w:rsidTr="00F438EF">
        <w:trPr>
          <w:cantSplit/>
        </w:trPr>
        <w:tc>
          <w:tcPr>
            <w:tcW w:w="622" w:type="pct"/>
          </w:tcPr>
          <w:p w14:paraId="0532FABF" w14:textId="77777777" w:rsidR="00822AF3" w:rsidRDefault="00F438EF" w:rsidP="00DE44E6">
            <w:r>
              <w:t>3.4</w:t>
            </w:r>
          </w:p>
          <w:p w14:paraId="0FCA259D" w14:textId="77777777" w:rsidR="00306D9B" w:rsidRDefault="00F438EF" w:rsidP="00DE44E6">
            <w:r>
              <w:t>Planungsvorgaben und Empfehlungen</w:t>
            </w:r>
          </w:p>
        </w:tc>
        <w:tc>
          <w:tcPr>
            <w:tcW w:w="4378" w:type="pct"/>
          </w:tcPr>
          <w:p w14:paraId="710EBDF1" w14:textId="17AEA81E" w:rsidR="00822AF3" w:rsidRDefault="000430BF" w:rsidP="00DE44E6">
            <w:r>
              <w:t>Zu den Empfehlungen:</w:t>
            </w:r>
          </w:p>
          <w:p w14:paraId="5D99BBD0" w14:textId="775B018B" w:rsidR="00822AF3" w:rsidRDefault="000430BF" w:rsidP="005F76DD">
            <w:pPr>
              <w:pStyle w:val="Listenabsatz"/>
              <w:numPr>
                <w:ilvl w:val="0"/>
                <w:numId w:val="34"/>
              </w:numPr>
            </w:pPr>
            <w:r>
              <w:t xml:space="preserve">Austauschplattformen: </w:t>
            </w:r>
            <w:r w:rsidR="005F76DD">
              <w:t>Hier ist allenfalls noch zu präzisieren, wie diese Austauschplattformen organisiert werden sollen und welche Kompetenzen diesen regionalen Austauschplattformen zustehen sollen.</w:t>
            </w:r>
          </w:p>
        </w:tc>
      </w:tr>
      <w:tr w:rsidR="00423957" w14:paraId="7608B597" w14:textId="77777777" w:rsidTr="00F438EF">
        <w:trPr>
          <w:cantSplit/>
        </w:trPr>
        <w:tc>
          <w:tcPr>
            <w:tcW w:w="622" w:type="pct"/>
            <w:shd w:val="clear" w:color="auto" w:fill="7F7F7F" w:themeFill="text1" w:themeFillTint="80"/>
          </w:tcPr>
          <w:p w14:paraId="0627933F" w14:textId="77777777" w:rsidR="00423957" w:rsidRDefault="00423957" w:rsidP="00306D9B"/>
        </w:tc>
        <w:tc>
          <w:tcPr>
            <w:tcW w:w="4378" w:type="pct"/>
            <w:shd w:val="clear" w:color="auto" w:fill="7F7F7F" w:themeFill="text1" w:themeFillTint="80"/>
          </w:tcPr>
          <w:p w14:paraId="374891A8" w14:textId="77777777" w:rsidR="00423957" w:rsidRDefault="00423957" w:rsidP="00306D9B"/>
        </w:tc>
      </w:tr>
      <w:tr w:rsidR="00306D9B" w14:paraId="012DC3D2" w14:textId="77777777" w:rsidTr="00F438EF">
        <w:tc>
          <w:tcPr>
            <w:tcW w:w="622" w:type="pct"/>
          </w:tcPr>
          <w:p w14:paraId="472B60B5" w14:textId="77777777" w:rsidR="00306D9B" w:rsidRPr="00306D9B" w:rsidRDefault="00306D9B" w:rsidP="00306D9B">
            <w:pPr>
              <w:rPr>
                <w:b/>
              </w:rPr>
            </w:pPr>
            <w:r w:rsidRPr="00306D9B">
              <w:rPr>
                <w:b/>
              </w:rPr>
              <w:t>4</w:t>
            </w:r>
          </w:p>
          <w:p w14:paraId="6629ED86" w14:textId="77777777" w:rsidR="00306D9B" w:rsidRDefault="00306D9B" w:rsidP="00B11052">
            <w:r>
              <w:rPr>
                <w:b/>
              </w:rPr>
              <w:t>A</w:t>
            </w:r>
            <w:r w:rsidRPr="00306D9B">
              <w:rPr>
                <w:b/>
              </w:rPr>
              <w:t xml:space="preserve">mbulante </w:t>
            </w:r>
            <w:r w:rsidR="00B11052">
              <w:rPr>
                <w:b/>
              </w:rPr>
              <w:t>Versorgung</w:t>
            </w:r>
          </w:p>
        </w:tc>
        <w:tc>
          <w:tcPr>
            <w:tcW w:w="4378" w:type="pct"/>
          </w:tcPr>
          <w:p w14:paraId="718A0B7D" w14:textId="77777777" w:rsidR="00306D9B" w:rsidRDefault="00306D9B" w:rsidP="00306D9B"/>
          <w:p w14:paraId="57E7A422" w14:textId="77777777" w:rsidR="00306D9B" w:rsidRDefault="00306D9B" w:rsidP="00306D9B"/>
          <w:p w14:paraId="6C909194" w14:textId="77777777" w:rsidR="00306D9B" w:rsidRDefault="00306D9B" w:rsidP="00306D9B"/>
        </w:tc>
      </w:tr>
      <w:tr w:rsidR="00306D9B" w14:paraId="676B6F92" w14:textId="77777777" w:rsidTr="00F438EF">
        <w:tc>
          <w:tcPr>
            <w:tcW w:w="622" w:type="pct"/>
          </w:tcPr>
          <w:p w14:paraId="53BDF5E0" w14:textId="77777777" w:rsidR="00306D9B" w:rsidRDefault="00306D9B" w:rsidP="00306D9B">
            <w:r>
              <w:t>4.1</w:t>
            </w:r>
          </w:p>
          <w:p w14:paraId="398E811F" w14:textId="77777777" w:rsidR="00306D9B" w:rsidRDefault="00B11052" w:rsidP="00306D9B">
            <w:r>
              <w:lastRenderedPageBreak/>
              <w:t>Bestehendes Angebot</w:t>
            </w:r>
          </w:p>
        </w:tc>
        <w:tc>
          <w:tcPr>
            <w:tcW w:w="4378" w:type="pct"/>
          </w:tcPr>
          <w:p w14:paraId="00160286" w14:textId="6EBC2DBD" w:rsidR="00306D9B" w:rsidRDefault="00BF4913" w:rsidP="00960058">
            <w:r>
              <w:lastRenderedPageBreak/>
              <w:t>Keine Bemerkungen</w:t>
            </w:r>
          </w:p>
        </w:tc>
      </w:tr>
      <w:tr w:rsidR="00306D9B" w14:paraId="74A708C8" w14:textId="77777777" w:rsidTr="00F438EF">
        <w:tc>
          <w:tcPr>
            <w:tcW w:w="622" w:type="pct"/>
          </w:tcPr>
          <w:p w14:paraId="1FA42A48" w14:textId="77777777" w:rsidR="00306D9B" w:rsidRDefault="00B11052" w:rsidP="00306D9B">
            <w:r>
              <w:t>4.2</w:t>
            </w:r>
          </w:p>
          <w:p w14:paraId="77F6BF08" w14:textId="77777777" w:rsidR="00306D9B" w:rsidRDefault="00B11052" w:rsidP="00306D9B">
            <w:r>
              <w:t>Bestehende Inanspruchnahme</w:t>
            </w:r>
          </w:p>
        </w:tc>
        <w:tc>
          <w:tcPr>
            <w:tcW w:w="4378" w:type="pct"/>
          </w:tcPr>
          <w:p w14:paraId="63DEC7E2" w14:textId="339B6181" w:rsidR="00306D9B" w:rsidRDefault="00BF4913" w:rsidP="00BF4913">
            <w:r>
              <w:t>Keine Bemerkungen</w:t>
            </w:r>
          </w:p>
        </w:tc>
      </w:tr>
      <w:tr w:rsidR="00306D9B" w14:paraId="560DADD4" w14:textId="77777777" w:rsidTr="00F438EF">
        <w:tc>
          <w:tcPr>
            <w:tcW w:w="622" w:type="pct"/>
          </w:tcPr>
          <w:p w14:paraId="4708DF23" w14:textId="77777777" w:rsidR="00306D9B" w:rsidRDefault="00B11052" w:rsidP="00306D9B">
            <w:r>
              <w:t>4.3</w:t>
            </w:r>
          </w:p>
          <w:p w14:paraId="3A650C92" w14:textId="77777777" w:rsidR="00306D9B" w:rsidRDefault="00B11052" w:rsidP="00B11052">
            <w:r>
              <w:t>Prognostizierte Bedarfsentwicklung</w:t>
            </w:r>
          </w:p>
        </w:tc>
        <w:tc>
          <w:tcPr>
            <w:tcW w:w="4378" w:type="pct"/>
          </w:tcPr>
          <w:p w14:paraId="027E4B3D" w14:textId="2253FF40" w:rsidR="00306D9B" w:rsidRDefault="009225AB" w:rsidP="00306D9B">
            <w:r>
              <w:t>Keine Bemerkungen</w:t>
            </w:r>
          </w:p>
          <w:p w14:paraId="42190CD2" w14:textId="77777777" w:rsidR="00306D9B" w:rsidRDefault="00306D9B" w:rsidP="00306D9B"/>
        </w:tc>
      </w:tr>
      <w:tr w:rsidR="00306D9B" w14:paraId="209DA05D" w14:textId="77777777" w:rsidTr="00F438EF">
        <w:tc>
          <w:tcPr>
            <w:tcW w:w="622" w:type="pct"/>
          </w:tcPr>
          <w:p w14:paraId="65D2912E" w14:textId="77777777" w:rsidR="00306D9B" w:rsidRDefault="00B11052" w:rsidP="00306D9B">
            <w:r>
              <w:t>4.4</w:t>
            </w:r>
          </w:p>
          <w:p w14:paraId="5A187284" w14:textId="77777777" w:rsidR="00306D9B" w:rsidRDefault="00B11052" w:rsidP="00306D9B">
            <w:r>
              <w:t>Empfehlungen</w:t>
            </w:r>
          </w:p>
        </w:tc>
        <w:tc>
          <w:tcPr>
            <w:tcW w:w="4378" w:type="pct"/>
          </w:tcPr>
          <w:p w14:paraId="292F8F6A" w14:textId="7CC25300" w:rsidR="00306D9B" w:rsidRDefault="009225AB" w:rsidP="00D67B03">
            <w:r>
              <w:t xml:space="preserve">Die öffentlichen Spitexorganisationen haben sich </w:t>
            </w:r>
            <w:r w:rsidR="001C4318" w:rsidRPr="001C4318">
              <w:t xml:space="preserve">weiterzuentwickeln </w:t>
            </w:r>
            <w:r w:rsidR="001C4318">
              <w:t xml:space="preserve">und sich </w:t>
            </w:r>
            <w:r>
              <w:t>den aktuellen Marktbedürfnissen anzupassen. Die Leistungsangebote der öffentlichen Spitexorganisationen sind wirtschaftlich so auszugestalten, dass einerseits die Grundversorgung gewährleistet ist und andererseits das Eindringen von privaten Spitexorganisationen in die Grundversorgung möglichst verhindert werden kann.</w:t>
            </w:r>
          </w:p>
        </w:tc>
      </w:tr>
      <w:tr w:rsidR="00423957" w14:paraId="48FB87C9" w14:textId="77777777" w:rsidTr="00F438EF">
        <w:tc>
          <w:tcPr>
            <w:tcW w:w="622" w:type="pct"/>
            <w:shd w:val="clear" w:color="auto" w:fill="7F7F7F" w:themeFill="text1" w:themeFillTint="80"/>
          </w:tcPr>
          <w:p w14:paraId="5A1DD4DE" w14:textId="77777777" w:rsidR="00423957" w:rsidRDefault="00423957" w:rsidP="00306D9B"/>
        </w:tc>
        <w:tc>
          <w:tcPr>
            <w:tcW w:w="4378" w:type="pct"/>
            <w:shd w:val="clear" w:color="auto" w:fill="7F7F7F" w:themeFill="text1" w:themeFillTint="80"/>
          </w:tcPr>
          <w:p w14:paraId="457C349F" w14:textId="77777777" w:rsidR="00423957" w:rsidRDefault="00423957" w:rsidP="00306D9B"/>
        </w:tc>
      </w:tr>
      <w:tr w:rsidR="00306D9B" w14:paraId="13C0B6B9" w14:textId="77777777" w:rsidTr="00F438EF">
        <w:tc>
          <w:tcPr>
            <w:tcW w:w="622" w:type="pct"/>
          </w:tcPr>
          <w:p w14:paraId="7495038E" w14:textId="77777777" w:rsidR="00306D9B" w:rsidRPr="008F3AD7" w:rsidRDefault="00B11052" w:rsidP="00306D9B">
            <w:pPr>
              <w:rPr>
                <w:b/>
              </w:rPr>
            </w:pPr>
            <w:r>
              <w:rPr>
                <w:b/>
              </w:rPr>
              <w:t>5</w:t>
            </w:r>
          </w:p>
          <w:p w14:paraId="13B6611D" w14:textId="77777777" w:rsidR="008F3AD7" w:rsidRDefault="00B11052" w:rsidP="00B11052">
            <w:r>
              <w:rPr>
                <w:b/>
              </w:rPr>
              <w:t>Intermediäre Versorgung</w:t>
            </w:r>
          </w:p>
        </w:tc>
        <w:tc>
          <w:tcPr>
            <w:tcW w:w="4378" w:type="pct"/>
          </w:tcPr>
          <w:p w14:paraId="0E136F9E" w14:textId="77777777" w:rsidR="00306D9B" w:rsidRDefault="00306D9B" w:rsidP="00306D9B"/>
          <w:p w14:paraId="1AADAC89" w14:textId="77777777" w:rsidR="00306D9B" w:rsidRDefault="00306D9B" w:rsidP="00306D9B"/>
        </w:tc>
      </w:tr>
      <w:tr w:rsidR="008F3AD7" w14:paraId="38B1DC51" w14:textId="77777777" w:rsidTr="00F438EF">
        <w:tc>
          <w:tcPr>
            <w:tcW w:w="622" w:type="pct"/>
          </w:tcPr>
          <w:p w14:paraId="632E9E76" w14:textId="77777777" w:rsidR="008F3AD7" w:rsidRDefault="003766DA" w:rsidP="00306D9B">
            <w:r>
              <w:t>5.1</w:t>
            </w:r>
          </w:p>
          <w:p w14:paraId="0E820B1B" w14:textId="77777777" w:rsidR="003766DA" w:rsidRDefault="00B11052" w:rsidP="00306D9B">
            <w:r>
              <w:t>Kurzzeitaufenthalte</w:t>
            </w:r>
          </w:p>
        </w:tc>
        <w:tc>
          <w:tcPr>
            <w:tcW w:w="4378" w:type="pct"/>
          </w:tcPr>
          <w:p w14:paraId="2DF0D66A" w14:textId="77777777" w:rsidR="008F3AD7" w:rsidRDefault="008F3AD7" w:rsidP="00306D9B"/>
          <w:p w14:paraId="0B5E5E8D" w14:textId="27D20C9E" w:rsidR="008F3AD7" w:rsidRDefault="00D67B03" w:rsidP="00306D9B">
            <w:r>
              <w:t>Keine Bemerkungen</w:t>
            </w:r>
          </w:p>
          <w:p w14:paraId="3E5E09FC" w14:textId="77777777" w:rsidR="008F3AD7" w:rsidRDefault="008F3AD7" w:rsidP="00306D9B"/>
        </w:tc>
      </w:tr>
      <w:tr w:rsidR="008F3AD7" w14:paraId="4D00C767" w14:textId="77777777" w:rsidTr="00F438EF">
        <w:trPr>
          <w:cantSplit/>
        </w:trPr>
        <w:tc>
          <w:tcPr>
            <w:tcW w:w="622" w:type="pct"/>
          </w:tcPr>
          <w:p w14:paraId="1A5DEC1D" w14:textId="77777777" w:rsidR="008F3AD7" w:rsidRDefault="003766DA" w:rsidP="00306D9B">
            <w:r>
              <w:t>5.2</w:t>
            </w:r>
          </w:p>
          <w:p w14:paraId="2037E276" w14:textId="77777777" w:rsidR="003766DA" w:rsidRDefault="00B11052" w:rsidP="00306D9B">
            <w:r>
              <w:t>Tages- und Nachtstrukturen</w:t>
            </w:r>
          </w:p>
        </w:tc>
        <w:tc>
          <w:tcPr>
            <w:tcW w:w="4378" w:type="pct"/>
          </w:tcPr>
          <w:p w14:paraId="1AF79F1D" w14:textId="77777777" w:rsidR="008F3AD7" w:rsidRDefault="008F3AD7" w:rsidP="00306D9B"/>
          <w:p w14:paraId="289FD1A3" w14:textId="5030285B" w:rsidR="008F3AD7" w:rsidRDefault="00D67B03" w:rsidP="00306D9B">
            <w:r>
              <w:t>Keine Bemerkungen</w:t>
            </w:r>
          </w:p>
          <w:p w14:paraId="163A133D" w14:textId="77777777" w:rsidR="008F3AD7" w:rsidRDefault="008F3AD7" w:rsidP="00306D9B"/>
        </w:tc>
      </w:tr>
      <w:tr w:rsidR="008F3AD7" w14:paraId="7AF4E83B" w14:textId="77777777" w:rsidTr="00F438EF">
        <w:trPr>
          <w:cantSplit/>
        </w:trPr>
        <w:tc>
          <w:tcPr>
            <w:tcW w:w="622" w:type="pct"/>
          </w:tcPr>
          <w:p w14:paraId="31EE95C2" w14:textId="77777777" w:rsidR="008F3AD7" w:rsidRDefault="001105C3" w:rsidP="00306D9B">
            <w:r>
              <w:t>5.3</w:t>
            </w:r>
          </w:p>
          <w:p w14:paraId="28F3F710" w14:textId="77777777" w:rsidR="001105C3" w:rsidRDefault="00B11052" w:rsidP="00306D9B">
            <w:r>
              <w:t>Betreute Wohnformen</w:t>
            </w:r>
          </w:p>
        </w:tc>
        <w:tc>
          <w:tcPr>
            <w:tcW w:w="4378" w:type="pct"/>
          </w:tcPr>
          <w:p w14:paraId="08DF6C66" w14:textId="77777777" w:rsidR="00D67B03" w:rsidRDefault="00D67B03" w:rsidP="00D67B03"/>
          <w:p w14:paraId="4005F4F2" w14:textId="19E70A90" w:rsidR="008F3AD7" w:rsidRDefault="00D67B03" w:rsidP="00306D9B">
            <w:r>
              <w:t>Keine Bemerkungen</w:t>
            </w:r>
          </w:p>
          <w:p w14:paraId="3F92B9F6" w14:textId="77777777" w:rsidR="008F3AD7" w:rsidRDefault="008F3AD7" w:rsidP="00306D9B"/>
        </w:tc>
      </w:tr>
      <w:tr w:rsidR="008F3AD7" w14:paraId="356C4C4D" w14:textId="77777777" w:rsidTr="00F438EF">
        <w:tc>
          <w:tcPr>
            <w:tcW w:w="622" w:type="pct"/>
          </w:tcPr>
          <w:p w14:paraId="207E25C8" w14:textId="77777777" w:rsidR="008F3AD7" w:rsidRDefault="001105C3" w:rsidP="00306D9B">
            <w:r>
              <w:t>5.4</w:t>
            </w:r>
          </w:p>
          <w:p w14:paraId="227C375C" w14:textId="77777777" w:rsidR="001105C3" w:rsidRDefault="00B11052" w:rsidP="00306D9B">
            <w:r>
              <w:t>Information und Beratung</w:t>
            </w:r>
          </w:p>
        </w:tc>
        <w:tc>
          <w:tcPr>
            <w:tcW w:w="4378" w:type="pct"/>
          </w:tcPr>
          <w:p w14:paraId="126485C3" w14:textId="114992EE" w:rsidR="008F3AD7" w:rsidRDefault="009225AB" w:rsidP="00306D9B">
            <w:r>
              <w:t>Die Beratungs- und Informationsangebote sind noch stärker durch die kantonale und beauftragte Alterskoordinationsstelle Pro Senectute zu intensivieren.</w:t>
            </w:r>
          </w:p>
        </w:tc>
      </w:tr>
      <w:tr w:rsidR="008F3AD7" w14:paraId="6481F40C" w14:textId="77777777" w:rsidTr="00F438EF">
        <w:tc>
          <w:tcPr>
            <w:tcW w:w="622" w:type="pct"/>
          </w:tcPr>
          <w:p w14:paraId="16B8043C" w14:textId="77777777" w:rsidR="008F3AD7" w:rsidRDefault="001105C3" w:rsidP="00306D9B">
            <w:r>
              <w:t>5.5</w:t>
            </w:r>
          </w:p>
          <w:p w14:paraId="2C87389B" w14:textId="77777777" w:rsidR="001105C3" w:rsidRDefault="00B11052" w:rsidP="00306D9B">
            <w:r>
              <w:t>Empfehlungen</w:t>
            </w:r>
          </w:p>
        </w:tc>
        <w:tc>
          <w:tcPr>
            <w:tcW w:w="4378" w:type="pct"/>
          </w:tcPr>
          <w:p w14:paraId="1D8A7A49" w14:textId="0117722A" w:rsidR="00D67B03" w:rsidRDefault="00BF4913" w:rsidP="00F84222">
            <w:r>
              <w:t>Wenn empfohlen wird, dass die Einwohnergemeinden Tagesstätten zu finanzieren haben, braucht es Überlegungen, in welchem Rahmen die Einwohnergemeinden in der Pflegefinanzierung der Langzeit</w:t>
            </w:r>
            <w:r w:rsidR="00F84222">
              <w:t>pflegebedürftigen entlastet werden.</w:t>
            </w:r>
          </w:p>
        </w:tc>
      </w:tr>
      <w:tr w:rsidR="008112AF" w14:paraId="34531C4F" w14:textId="77777777" w:rsidTr="00F438EF">
        <w:tc>
          <w:tcPr>
            <w:tcW w:w="622" w:type="pct"/>
            <w:shd w:val="clear" w:color="auto" w:fill="7F7F7F" w:themeFill="text1" w:themeFillTint="80"/>
          </w:tcPr>
          <w:p w14:paraId="687C4CAB" w14:textId="77777777" w:rsidR="008112AF" w:rsidRDefault="008112AF" w:rsidP="00306D9B"/>
        </w:tc>
        <w:tc>
          <w:tcPr>
            <w:tcW w:w="4378" w:type="pct"/>
            <w:shd w:val="clear" w:color="auto" w:fill="7F7F7F" w:themeFill="text1" w:themeFillTint="80"/>
          </w:tcPr>
          <w:p w14:paraId="039633EF" w14:textId="77777777" w:rsidR="008112AF" w:rsidRDefault="008112AF" w:rsidP="00306D9B"/>
        </w:tc>
      </w:tr>
      <w:tr w:rsidR="008F3AD7" w14:paraId="38902AEC" w14:textId="77777777" w:rsidTr="00F438EF">
        <w:tc>
          <w:tcPr>
            <w:tcW w:w="622" w:type="pct"/>
          </w:tcPr>
          <w:p w14:paraId="7371DD49" w14:textId="77777777" w:rsidR="00A5102D" w:rsidRDefault="00B11052" w:rsidP="00306D9B">
            <w:r>
              <w:rPr>
                <w:b/>
              </w:rPr>
              <w:t>Anhang</w:t>
            </w:r>
          </w:p>
        </w:tc>
        <w:tc>
          <w:tcPr>
            <w:tcW w:w="4378" w:type="pct"/>
          </w:tcPr>
          <w:p w14:paraId="72432A82" w14:textId="77777777" w:rsidR="008F3AD7" w:rsidRDefault="008F3AD7" w:rsidP="00306D9B"/>
          <w:p w14:paraId="15C2BA23" w14:textId="77777777" w:rsidR="008F3AD7" w:rsidRDefault="008F3AD7" w:rsidP="00306D9B"/>
          <w:p w14:paraId="6A6B7C65" w14:textId="77777777" w:rsidR="008F3AD7" w:rsidRDefault="008F3AD7" w:rsidP="00306D9B"/>
        </w:tc>
      </w:tr>
    </w:tbl>
    <w:p w14:paraId="0DCB7FB9" w14:textId="7C9EA030" w:rsidR="00CB778E" w:rsidRDefault="00CB778E" w:rsidP="00CB778E"/>
    <w:p w14:paraId="6C745802" w14:textId="4E3BF301" w:rsidR="001A38C9" w:rsidRPr="00CB778E" w:rsidRDefault="001A38C9" w:rsidP="00CB778E">
      <w:r>
        <w:t>Besten Dank für Ihre Kenntnisnahme!                     Obergerlafingen, 24.02.2023                        T. Blum, VSEG-Geschäftsführer</w:t>
      </w:r>
    </w:p>
    <w:sectPr w:rsidR="001A38C9" w:rsidRPr="00CB778E" w:rsidSect="00CB778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021" w:bottom="1134" w:left="102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DF10" w14:textId="77777777" w:rsidR="00D326DF" w:rsidRPr="00E607DA" w:rsidRDefault="00D326DF">
      <w:r w:rsidRPr="00E607DA">
        <w:separator/>
      </w:r>
    </w:p>
  </w:endnote>
  <w:endnote w:type="continuationSeparator" w:id="0">
    <w:p w14:paraId="5B439A4D" w14:textId="77777777" w:rsidR="00D326DF" w:rsidRPr="00E607DA" w:rsidRDefault="00D326DF">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Corbel"/>
    <w:charset w:val="00"/>
    <w:family w:val="swiss"/>
    <w:pitch w:val="variable"/>
    <w:sig w:usb0="00000001" w:usb1="5000204A" w:usb2="00000000" w:usb3="00000000" w:csb0="0000009B"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D5BF" w14:textId="77777777" w:rsidR="00CB778E" w:rsidRDefault="00CB77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FF6" w14:textId="77777777" w:rsidR="00CB778E" w:rsidRDefault="00CB77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9072" w14:textId="77777777" w:rsidR="00CB778E" w:rsidRDefault="00CB77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4122" w14:textId="77777777" w:rsidR="00D326DF" w:rsidRPr="00E607DA" w:rsidRDefault="00D326DF">
      <w:r w:rsidRPr="00E607DA">
        <w:separator/>
      </w:r>
    </w:p>
  </w:footnote>
  <w:footnote w:type="continuationSeparator" w:id="0">
    <w:p w14:paraId="4F13FF8F" w14:textId="77777777" w:rsidR="00D326DF" w:rsidRPr="00E607DA" w:rsidRDefault="00D326DF">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7870" w14:textId="77777777" w:rsidR="00CB778E" w:rsidRDefault="00CB77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AA9D" w14:textId="77777777" w:rsidR="009A3A88" w:rsidRDefault="00CB778E" w:rsidP="00B17D81">
    <w:pPr>
      <w:pStyle w:val="Kopfzeile"/>
    </w:pPr>
    <w:r>
      <w:rPr>
        <w:noProof/>
        <w:lang w:eastAsia="de-CH"/>
      </w:rPr>
      <w:drawing>
        <wp:anchor distT="0" distB="0" distL="114300" distR="114300" simplePos="0" relativeHeight="251659264" behindDoc="0" locked="0" layoutInCell="0" allowOverlap="1" wp14:anchorId="54CCF513" wp14:editId="55E2C9A8">
          <wp:simplePos x="0" y="0"/>
          <wp:positionH relativeFrom="column">
            <wp:posOffset>7248525</wp:posOffset>
          </wp:positionH>
          <wp:positionV relativeFrom="paragraph">
            <wp:posOffset>66675</wp:posOffset>
          </wp:positionV>
          <wp:extent cx="2168525" cy="201295"/>
          <wp:effectExtent l="0" t="0" r="3175" b="8255"/>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20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41E14" w14:textId="77777777" w:rsidR="009A3A88" w:rsidRDefault="009A3A8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461B" w14:textId="77777777" w:rsidR="009A3A88" w:rsidRDefault="009A3A8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3"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365B00FA"/>
    <w:multiLevelType w:val="hybridMultilevel"/>
    <w:tmpl w:val="8C44B2F2"/>
    <w:lvl w:ilvl="0" w:tplc="A40E4098">
      <w:start w:val="5"/>
      <w:numFmt w:val="bullet"/>
      <w:lvlText w:val="-"/>
      <w:lvlJc w:val="left"/>
      <w:pPr>
        <w:ind w:left="720" w:hanging="360"/>
      </w:pPr>
      <w:rPr>
        <w:rFonts w:ascii="Frutiger LT Com 55 Roman" w:eastAsia="Andale Sans UI" w:hAnsi="Frutiger LT Com 55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18"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19"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1"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2"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3"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28"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29"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2"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3"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16cid:durableId="335576971">
    <w:abstractNumId w:val="9"/>
  </w:num>
  <w:num w:numId="2" w16cid:durableId="884098495">
    <w:abstractNumId w:val="7"/>
  </w:num>
  <w:num w:numId="3" w16cid:durableId="252403074">
    <w:abstractNumId w:val="6"/>
  </w:num>
  <w:num w:numId="4" w16cid:durableId="1117410471">
    <w:abstractNumId w:val="5"/>
  </w:num>
  <w:num w:numId="5" w16cid:durableId="344328094">
    <w:abstractNumId w:val="4"/>
  </w:num>
  <w:num w:numId="6" w16cid:durableId="869105087">
    <w:abstractNumId w:val="8"/>
  </w:num>
  <w:num w:numId="7" w16cid:durableId="1043359559">
    <w:abstractNumId w:val="3"/>
  </w:num>
  <w:num w:numId="8" w16cid:durableId="990057434">
    <w:abstractNumId w:val="2"/>
  </w:num>
  <w:num w:numId="9" w16cid:durableId="1048339809">
    <w:abstractNumId w:val="1"/>
  </w:num>
  <w:num w:numId="10" w16cid:durableId="667756051">
    <w:abstractNumId w:val="0"/>
  </w:num>
  <w:num w:numId="11" w16cid:durableId="770198239">
    <w:abstractNumId w:val="22"/>
  </w:num>
  <w:num w:numId="12" w16cid:durableId="901133322">
    <w:abstractNumId w:val="17"/>
  </w:num>
  <w:num w:numId="13" w16cid:durableId="956839983">
    <w:abstractNumId w:val="12"/>
  </w:num>
  <w:num w:numId="14" w16cid:durableId="1026365864">
    <w:abstractNumId w:val="28"/>
  </w:num>
  <w:num w:numId="15" w16cid:durableId="312567277">
    <w:abstractNumId w:val="18"/>
  </w:num>
  <w:num w:numId="16" w16cid:durableId="1702441028">
    <w:abstractNumId w:val="14"/>
  </w:num>
  <w:num w:numId="17" w16cid:durableId="2020422629">
    <w:abstractNumId w:val="19"/>
  </w:num>
  <w:num w:numId="18" w16cid:durableId="886724378">
    <w:abstractNumId w:val="30"/>
  </w:num>
  <w:num w:numId="19" w16cid:durableId="814106587">
    <w:abstractNumId w:val="32"/>
  </w:num>
  <w:num w:numId="20" w16cid:durableId="975573569">
    <w:abstractNumId w:val="24"/>
  </w:num>
  <w:num w:numId="21" w16cid:durableId="1712266925">
    <w:abstractNumId w:val="31"/>
  </w:num>
  <w:num w:numId="22" w16cid:durableId="1540320299">
    <w:abstractNumId w:val="29"/>
  </w:num>
  <w:num w:numId="23" w16cid:durableId="1109928763">
    <w:abstractNumId w:val="20"/>
  </w:num>
  <w:num w:numId="24" w16cid:durableId="943729756">
    <w:abstractNumId w:val="10"/>
  </w:num>
  <w:num w:numId="25" w16cid:durableId="1355837999">
    <w:abstractNumId w:val="27"/>
  </w:num>
  <w:num w:numId="26" w16cid:durableId="1505978830">
    <w:abstractNumId w:val="13"/>
  </w:num>
  <w:num w:numId="27" w16cid:durableId="2118940261">
    <w:abstractNumId w:val="11"/>
  </w:num>
  <w:num w:numId="28" w16cid:durableId="919752099">
    <w:abstractNumId w:val="26"/>
  </w:num>
  <w:num w:numId="29" w16cid:durableId="922683453">
    <w:abstractNumId w:val="25"/>
  </w:num>
  <w:num w:numId="30" w16cid:durableId="235090721">
    <w:abstractNumId w:val="15"/>
  </w:num>
  <w:num w:numId="31" w16cid:durableId="1499035641">
    <w:abstractNumId w:val="33"/>
  </w:num>
  <w:num w:numId="32" w16cid:durableId="1173183936">
    <w:abstractNumId w:val="21"/>
  </w:num>
  <w:num w:numId="33" w16cid:durableId="195118094">
    <w:abstractNumId w:val="23"/>
  </w:num>
  <w:num w:numId="34" w16cid:durableId="8694175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851"/>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F9"/>
    <w:rsid w:val="00007993"/>
    <w:rsid w:val="00021ED3"/>
    <w:rsid w:val="000430BF"/>
    <w:rsid w:val="000438D8"/>
    <w:rsid w:val="0006196D"/>
    <w:rsid w:val="000A249B"/>
    <w:rsid w:val="000B5DC0"/>
    <w:rsid w:val="000D28E6"/>
    <w:rsid w:val="000D71B0"/>
    <w:rsid w:val="000F072D"/>
    <w:rsid w:val="000F5564"/>
    <w:rsid w:val="001105C3"/>
    <w:rsid w:val="00110A74"/>
    <w:rsid w:val="00120904"/>
    <w:rsid w:val="001211A8"/>
    <w:rsid w:val="00141338"/>
    <w:rsid w:val="00175693"/>
    <w:rsid w:val="001A38C9"/>
    <w:rsid w:val="001C4318"/>
    <w:rsid w:val="002239DB"/>
    <w:rsid w:val="00247256"/>
    <w:rsid w:val="00254BE6"/>
    <w:rsid w:val="00274CBD"/>
    <w:rsid w:val="00275E0C"/>
    <w:rsid w:val="00281DA7"/>
    <w:rsid w:val="00282BD1"/>
    <w:rsid w:val="002C2D73"/>
    <w:rsid w:val="002F09C4"/>
    <w:rsid w:val="002F7A6D"/>
    <w:rsid w:val="00306D9B"/>
    <w:rsid w:val="00342D75"/>
    <w:rsid w:val="00347AB9"/>
    <w:rsid w:val="003751FD"/>
    <w:rsid w:val="003766DA"/>
    <w:rsid w:val="003B6B8B"/>
    <w:rsid w:val="003C77D3"/>
    <w:rsid w:val="003D3AD1"/>
    <w:rsid w:val="00400F85"/>
    <w:rsid w:val="00423957"/>
    <w:rsid w:val="004251EC"/>
    <w:rsid w:val="00426A79"/>
    <w:rsid w:val="004453C9"/>
    <w:rsid w:val="00461F2D"/>
    <w:rsid w:val="00476D20"/>
    <w:rsid w:val="0049476D"/>
    <w:rsid w:val="004B68F2"/>
    <w:rsid w:val="004C7C09"/>
    <w:rsid w:val="004E0035"/>
    <w:rsid w:val="00545137"/>
    <w:rsid w:val="00582A05"/>
    <w:rsid w:val="005939A9"/>
    <w:rsid w:val="005D3B1A"/>
    <w:rsid w:val="005E2905"/>
    <w:rsid w:val="005F76DD"/>
    <w:rsid w:val="0062309A"/>
    <w:rsid w:val="00673C76"/>
    <w:rsid w:val="006C5326"/>
    <w:rsid w:val="006C7A85"/>
    <w:rsid w:val="00705CBF"/>
    <w:rsid w:val="00747D69"/>
    <w:rsid w:val="007576BC"/>
    <w:rsid w:val="007E2A50"/>
    <w:rsid w:val="008112AF"/>
    <w:rsid w:val="00811CB4"/>
    <w:rsid w:val="00822AF3"/>
    <w:rsid w:val="0083576C"/>
    <w:rsid w:val="00867533"/>
    <w:rsid w:val="0087580D"/>
    <w:rsid w:val="00876DF9"/>
    <w:rsid w:val="008F3AD7"/>
    <w:rsid w:val="00906041"/>
    <w:rsid w:val="009225AB"/>
    <w:rsid w:val="00926539"/>
    <w:rsid w:val="00960058"/>
    <w:rsid w:val="009A3A88"/>
    <w:rsid w:val="009C6C9C"/>
    <w:rsid w:val="00A11658"/>
    <w:rsid w:val="00A31E9B"/>
    <w:rsid w:val="00A5102D"/>
    <w:rsid w:val="00A716A6"/>
    <w:rsid w:val="00A71770"/>
    <w:rsid w:val="00AA6BDA"/>
    <w:rsid w:val="00AC4F8A"/>
    <w:rsid w:val="00AD2B24"/>
    <w:rsid w:val="00AE0103"/>
    <w:rsid w:val="00AE6218"/>
    <w:rsid w:val="00B11052"/>
    <w:rsid w:val="00B16997"/>
    <w:rsid w:val="00B17D81"/>
    <w:rsid w:val="00B31FF5"/>
    <w:rsid w:val="00B52AE4"/>
    <w:rsid w:val="00BA7B30"/>
    <w:rsid w:val="00BD2C70"/>
    <w:rsid w:val="00BF4913"/>
    <w:rsid w:val="00C4233A"/>
    <w:rsid w:val="00CB778E"/>
    <w:rsid w:val="00CD0109"/>
    <w:rsid w:val="00CE0785"/>
    <w:rsid w:val="00CF7619"/>
    <w:rsid w:val="00D2333C"/>
    <w:rsid w:val="00D326DF"/>
    <w:rsid w:val="00D6759C"/>
    <w:rsid w:val="00D67B03"/>
    <w:rsid w:val="00DB0BE1"/>
    <w:rsid w:val="00DB6B78"/>
    <w:rsid w:val="00DC01ED"/>
    <w:rsid w:val="00E607DA"/>
    <w:rsid w:val="00EE1090"/>
    <w:rsid w:val="00EE2476"/>
    <w:rsid w:val="00EE33A1"/>
    <w:rsid w:val="00EF7E2A"/>
    <w:rsid w:val="00F078CB"/>
    <w:rsid w:val="00F13332"/>
    <w:rsid w:val="00F238D5"/>
    <w:rsid w:val="00F438EF"/>
    <w:rsid w:val="00F62653"/>
    <w:rsid w:val="00F84222"/>
    <w:rsid w:val="00F8530B"/>
    <w:rsid w:val="00FB5842"/>
    <w:rsid w:val="00FE26CD"/>
    <w:rsid w:val="00FF13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B80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semiHidden/>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table" w:styleId="Tabellenraster">
    <w:name w:val="Table Grid"/>
    <w:basedOn w:val="NormaleTabelle"/>
    <w:uiPriority w:val="59"/>
    <w:rsid w:val="00CB7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7E2A"/>
    <w:rPr>
      <w:sz w:val="16"/>
      <w:szCs w:val="16"/>
    </w:rPr>
  </w:style>
  <w:style w:type="paragraph" w:styleId="Kommentartext">
    <w:name w:val="annotation text"/>
    <w:basedOn w:val="Standard"/>
    <w:link w:val="KommentartextZchn"/>
    <w:uiPriority w:val="99"/>
    <w:semiHidden/>
    <w:unhideWhenUsed/>
    <w:rsid w:val="00EF7E2A"/>
    <w:rPr>
      <w:szCs w:val="20"/>
    </w:rPr>
  </w:style>
  <w:style w:type="character" w:customStyle="1" w:styleId="KommentartextZchn">
    <w:name w:val="Kommentartext Zchn"/>
    <w:basedOn w:val="Absatz-Standardschriftart"/>
    <w:link w:val="Kommentartext"/>
    <w:uiPriority w:val="99"/>
    <w:semiHidden/>
    <w:rsid w:val="00EF7E2A"/>
    <w:rPr>
      <w:rFonts w:ascii="Frutiger LT Com 55 Roman" w:hAnsi="Frutiger LT Com 55 Roman"/>
    </w:rPr>
  </w:style>
  <w:style w:type="paragraph" w:styleId="Kommentarthema">
    <w:name w:val="annotation subject"/>
    <w:basedOn w:val="Kommentartext"/>
    <w:next w:val="Kommentartext"/>
    <w:link w:val="KommentarthemaZchn"/>
    <w:uiPriority w:val="99"/>
    <w:semiHidden/>
    <w:unhideWhenUsed/>
    <w:rsid w:val="00EF7E2A"/>
    <w:rPr>
      <w:b/>
      <w:bCs/>
    </w:rPr>
  </w:style>
  <w:style w:type="character" w:customStyle="1" w:styleId="KommentarthemaZchn">
    <w:name w:val="Kommentarthema Zchn"/>
    <w:basedOn w:val="KommentartextZchn"/>
    <w:link w:val="Kommentarthema"/>
    <w:uiPriority w:val="99"/>
    <w:semiHidden/>
    <w:rsid w:val="00EF7E2A"/>
    <w:rPr>
      <w:rFonts w:ascii="Frutiger LT Com 55 Roman" w:hAnsi="Frutiger LT Com 55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70CE6-289F-4C97-9426-B2565224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2023-02-14T14:51:00Z</dcterms:created>
  <dcterms:modified xsi:type="dcterms:W3CDTF">2023-02-24T10:52:00Z</dcterms:modified>
</cp:coreProperties>
</file>